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4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4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B4AD0" w:rsidRPr="00DB4AD0" w:rsidRDefault="00DB4AD0" w:rsidP="00DB4AD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AD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B4A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B4AD0" w:rsidRPr="00DB4AD0" w:rsidRDefault="00DB4AD0" w:rsidP="00DB4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B4AD0" w:rsidRPr="00DB4AD0" w:rsidRDefault="00DB4AD0" w:rsidP="00DB4A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B4AD0">
        <w:rPr>
          <w:rFonts w:ascii="Times New Roman" w:eastAsia="Times New Roman" w:hAnsi="Times New Roman" w:cs="Times New Roman"/>
          <w:sz w:val="28"/>
          <w:szCs w:val="28"/>
          <w:lang w:eastAsia="ru-RU"/>
        </w:rPr>
        <w:t>14.0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4AD0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4AD0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B3B92" w:rsidRDefault="007B3B92"/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412D80" w:rsidRPr="00412D80" w:rsidTr="00237432">
        <w:tc>
          <w:tcPr>
            <w:tcW w:w="5495" w:type="dxa"/>
          </w:tcPr>
          <w:bookmarkEnd w:id="0"/>
          <w:p w:rsidR="00412D80" w:rsidRPr="00412D80" w:rsidRDefault="00412D80" w:rsidP="00412D80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D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Pr="00412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согласовании проекта градостроительного плана земельного участка по адресу: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Погонный проезд, вл. 3-1</w:t>
            </w:r>
            <w:r w:rsidRPr="00412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4C04BD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с кадастровым номером 77:03:000</w:t>
            </w: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</w:t>
            </w:r>
            <w:r w:rsidRPr="004C04BD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0</w:t>
            </w: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</w:t>
            </w:r>
            <w:r w:rsidRPr="004C04BD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0:</w:t>
            </w:r>
            <w:r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9202</w:t>
            </w:r>
            <w:r w:rsidRPr="00412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</w:t>
            </w:r>
            <w:r w:rsidRPr="00412D80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ля размещения объекта капитального строительства</w:t>
            </w:r>
          </w:p>
        </w:tc>
      </w:tr>
    </w:tbl>
    <w:p w:rsidR="00412D80" w:rsidRDefault="00412D80" w:rsidP="00412D80">
      <w:pPr>
        <w:pStyle w:val="a5"/>
        <w:ind w:firstLine="700"/>
      </w:pPr>
      <w:proofErr w:type="gramStart"/>
      <w:r w:rsidRPr="00147CFF">
        <w:t>В соответствии с</w:t>
      </w:r>
      <w:r>
        <w:t xml:space="preserve"> пунктом 3 части 4 статьи 1</w:t>
      </w:r>
      <w:r w:rsidRPr="00147CFF">
        <w:t xml:space="preserve"> Закона города Москвы </w:t>
      </w:r>
      <w:r>
        <w:br/>
      </w:r>
      <w:r w:rsidRPr="00147CFF">
        <w:t>от</w:t>
      </w:r>
      <w:r>
        <w:t xml:space="preserve">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25 мая 2011 года № 229-ПП «О Порядке подготовки, утверждения, изменения и отмены градостроительных планов земельных участков»,</w:t>
      </w:r>
      <w:proofErr w:type="gramEnd"/>
    </w:p>
    <w:p w:rsidR="00412D80" w:rsidRPr="00412D80" w:rsidRDefault="00412D80" w:rsidP="00412D80">
      <w:pPr>
        <w:pStyle w:val="a5"/>
        <w:ind w:firstLine="700"/>
        <w:jc w:val="center"/>
        <w:rPr>
          <w:b/>
        </w:rPr>
      </w:pPr>
      <w:r w:rsidRPr="00412D80">
        <w:rPr>
          <w:b/>
        </w:rPr>
        <w:t xml:space="preserve">Совет депутатов муниципального округа </w:t>
      </w:r>
      <w:proofErr w:type="spellStart"/>
      <w:r w:rsidRPr="00412D80">
        <w:rPr>
          <w:b/>
        </w:rPr>
        <w:t>Богородское</w:t>
      </w:r>
      <w:proofErr w:type="spellEnd"/>
      <w:r w:rsidRPr="00412D80">
        <w:rPr>
          <w:b/>
        </w:rPr>
        <w:t xml:space="preserve"> решил:</w:t>
      </w:r>
    </w:p>
    <w:p w:rsidR="00412D80" w:rsidRDefault="00412D80" w:rsidP="00412D80">
      <w:pPr>
        <w:pStyle w:val="a5"/>
        <w:ind w:firstLine="700"/>
        <w:rPr>
          <w:iCs/>
        </w:rPr>
      </w:pPr>
      <w:r w:rsidRPr="00876C9B">
        <w:t xml:space="preserve">1. </w:t>
      </w:r>
      <w:r w:rsidRPr="006553A2">
        <w:t>Согласовать проект</w:t>
      </w:r>
      <w:r>
        <w:t xml:space="preserve"> </w:t>
      </w:r>
      <w:r w:rsidRPr="00EC6E90">
        <w:t xml:space="preserve">градостроительного плана земельного участка </w:t>
      </w:r>
      <w:r>
        <w:br/>
      </w:r>
      <w:r w:rsidRPr="006553A2">
        <w:rPr>
          <w:bCs/>
        </w:rPr>
        <w:t xml:space="preserve">по адресу: </w:t>
      </w:r>
      <w:r w:rsidRPr="00412D80">
        <w:rPr>
          <w:bCs/>
        </w:rPr>
        <w:t>Погонный проезд, вл. 3-1, с кадастровым номером 77:03:0002020:9202</w:t>
      </w:r>
      <w:r w:rsidRPr="006553A2">
        <w:rPr>
          <w:bCs/>
        </w:rPr>
        <w:t xml:space="preserve"> д</w:t>
      </w:r>
      <w:r w:rsidRPr="006553A2">
        <w:rPr>
          <w:rFonts w:eastAsia="Calibri"/>
          <w:bCs/>
          <w:iCs/>
          <w:lang w:eastAsia="en-US"/>
        </w:rPr>
        <w:t>ля размещения объекта капитального строительства</w:t>
      </w:r>
      <w:r w:rsidRPr="006553A2">
        <w:t xml:space="preserve"> </w:t>
      </w:r>
      <w:r>
        <w:t>(п</w:t>
      </w:r>
      <w:r>
        <w:rPr>
          <w:iCs/>
        </w:rPr>
        <w:t xml:space="preserve">риложение). </w:t>
      </w:r>
    </w:p>
    <w:p w:rsidR="00B73737" w:rsidRPr="00412D80" w:rsidRDefault="00B73737" w:rsidP="00412D80">
      <w:pPr>
        <w:pStyle w:val="a7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2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41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 и управу района </w:t>
      </w:r>
      <w:proofErr w:type="spellStart"/>
      <w:r w:rsidRPr="00412D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412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412D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73737" w:rsidRPr="004C04BD" w:rsidRDefault="00B73737" w:rsidP="00B7373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B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B73737" w:rsidRPr="004C04BD" w:rsidRDefault="00B73737" w:rsidP="00B7373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4C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B73737" w:rsidRPr="004C04BD" w:rsidRDefault="00B73737" w:rsidP="00B7373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3737" w:rsidRPr="004C04BD" w:rsidRDefault="00B73737" w:rsidP="00B737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4BD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977DBD" w:rsidRDefault="00B73737" w:rsidP="007B3B9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04BD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4C04BD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4C04BD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4C04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04B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C04B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</w:t>
      </w:r>
      <w:r w:rsidR="007B3B9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4C04BD">
        <w:rPr>
          <w:rFonts w:ascii="Times New Roman" w:eastAsia="Calibri" w:hAnsi="Times New Roman" w:cs="Times New Roman"/>
          <w:b/>
          <w:sz w:val="28"/>
          <w:szCs w:val="28"/>
        </w:rPr>
        <w:t>К.Е. Воловик</w:t>
      </w:r>
    </w:p>
    <w:p w:rsidR="007B3B92" w:rsidRDefault="007B3B92" w:rsidP="007B3B92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92" w:rsidRDefault="007B3B92" w:rsidP="007B3B92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92" w:rsidRDefault="007B3B92" w:rsidP="007B3B92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92" w:rsidRDefault="007B3B92" w:rsidP="007B3B92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92" w:rsidRPr="00303585" w:rsidRDefault="007B3B92" w:rsidP="007B3B92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7B3B92" w:rsidRPr="00303585" w:rsidRDefault="007B3B92" w:rsidP="007B3B92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решению Совета депутатов муниципального округа </w:t>
      </w:r>
      <w:proofErr w:type="spellStart"/>
      <w:r w:rsidRPr="00303585">
        <w:rPr>
          <w:rFonts w:ascii="Times New Roman" w:eastAsia="Calibri" w:hAnsi="Times New Roman" w:cs="Times New Roman"/>
          <w:bCs/>
          <w:sz w:val="28"/>
          <w:szCs w:val="28"/>
        </w:rPr>
        <w:t>Богородское</w:t>
      </w:r>
      <w:proofErr w:type="spellEnd"/>
      <w:r w:rsidRPr="0030358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7B3B92" w:rsidRPr="00303585" w:rsidRDefault="007B3B92" w:rsidP="007B3B92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303585">
        <w:rPr>
          <w:rFonts w:ascii="Times New Roman" w:eastAsia="Calibri" w:hAnsi="Times New Roman" w:cs="Times New Roman"/>
          <w:sz w:val="28"/>
          <w:szCs w:val="28"/>
        </w:rPr>
        <w:t>от 14 марта 2017 года № 05/0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18"/>
          <w:szCs w:val="18"/>
          <w:lang w:eastAsia="ru-RU"/>
        </w:rPr>
      </w:pPr>
    </w:p>
    <w:p w:rsidR="007B3B92" w:rsidRDefault="007B3B92" w:rsidP="007B3B92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12D80">
        <w:rPr>
          <w:rFonts w:ascii="Times New Roman" w:hAnsi="Times New Roman" w:cs="Times New Roman"/>
          <w:b/>
          <w:bCs/>
          <w:sz w:val="28"/>
          <w:szCs w:val="28"/>
        </w:rPr>
        <w:t xml:space="preserve">роект градостроительного плана земельного участка по адресу: </w:t>
      </w:r>
      <w:r>
        <w:rPr>
          <w:rFonts w:ascii="Times New Roman" w:hAnsi="Times New Roman" w:cs="Times New Roman"/>
          <w:b/>
          <w:bCs/>
          <w:sz w:val="28"/>
          <w:szCs w:val="28"/>
        </w:rPr>
        <w:t>Погонный проезд, вл. 3-1</w:t>
      </w:r>
    </w:p>
    <w:p w:rsidR="007B3B92" w:rsidRDefault="007B3B92" w:rsidP="007B3B92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6600"/>
          <w:sz w:val="8"/>
          <w:szCs w:val="8"/>
          <w:lang w:eastAsia="ru-RU"/>
        </w:rPr>
      </w:pP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ПРАВИТЕЛЬСТВО  МОСКВЫ</w:t>
      </w: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 ПО  АРХИТЕКТУРЕ  И  ГРАДОСТРОИТЕЛЬСТВУ</w:t>
      </w: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МОСКВЫ</w:t>
      </w:r>
    </w:p>
    <w:p w:rsidR="007B3B92" w:rsidRPr="007B3B92" w:rsidRDefault="007B3B92" w:rsidP="007B3B92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(МОСКОМАРХИТЕКТУРА)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B3B92" w:rsidRPr="007B3B92" w:rsidRDefault="007B3B92" w:rsidP="007B3B92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7B3B9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125047, Москва, Триумфальная пл., д. 1  Телефон (495) 250-5520</w:t>
      </w:r>
    </w:p>
    <w:p w:rsidR="007B3B92" w:rsidRPr="007B3B92" w:rsidRDefault="007B3B92" w:rsidP="007B3B92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</w:pPr>
      <w:r w:rsidRPr="007B3B92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E-mail: asi@mka.mos.ru, http://www.mka.mos.ru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44"/>
          <w:szCs w:val="44"/>
          <w:lang w:eastAsia="ru-RU"/>
        </w:rPr>
      </w:pPr>
      <w:r w:rsidRPr="007B3B92">
        <w:rPr>
          <w:rFonts w:ascii="Times New Roman" w:eastAsia="Times New Roman" w:hAnsi="Times New Roman" w:cs="Times New Roman"/>
          <w:spacing w:val="30"/>
          <w:sz w:val="44"/>
          <w:szCs w:val="44"/>
          <w:lang w:eastAsia="ru-RU"/>
        </w:rPr>
        <w:t xml:space="preserve">ГРАДОСТРОИТЕЛЬНЫЙ ПЛАН 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44"/>
          <w:szCs w:val="44"/>
          <w:lang w:eastAsia="ru-RU"/>
        </w:rPr>
      </w:pPr>
      <w:r w:rsidRPr="007B3B92">
        <w:rPr>
          <w:rFonts w:ascii="Times New Roman" w:eastAsia="Times New Roman" w:hAnsi="Times New Roman" w:cs="Times New Roman"/>
          <w:spacing w:val="30"/>
          <w:sz w:val="44"/>
          <w:szCs w:val="44"/>
          <w:lang w:eastAsia="ru-RU"/>
        </w:rPr>
        <w:t>ЗЕМЕЛЬНОГО УЧАСТКА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21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7B3B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77  -113000-023081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sectPr w:rsidR="007B3B92" w:rsidRPr="007B3B92" w:rsidSect="007B3B92">
          <w:pgSz w:w="11906" w:h="16838"/>
          <w:pgMar w:top="851" w:right="924" w:bottom="1134" w:left="851" w:header="709" w:footer="709" w:gutter="0"/>
          <w:cols w:space="708"/>
          <w:docGrid w:linePitch="360"/>
        </w:sect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ГРАДОСТРОИТЕЛЬНЫЙ ПЛАН ЗЕМЕЛЬНОГО УЧАСТКА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№RU77-113000-023081</w:t>
      </w:r>
    </w:p>
    <w:p w:rsidR="007B3B92" w:rsidRPr="007B3B92" w:rsidRDefault="007B3B92" w:rsidP="007B3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Градостроительный план земельного участка подготовлен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B3B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основании обращения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Религиозной организации "Финансово-хозяйственное управление Русской Православной Церкви (Московский Патриархат)" от 15.11.2016г. № 64989675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земельного участка: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 Москва, внутригородское муниципальное образование </w:t>
      </w:r>
      <w:proofErr w:type="spell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Богородское</w:t>
      </w:r>
      <w:proofErr w:type="spellEnd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Погонный проезд, вл. 3-1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77:03:0002020:9202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местоположения границ земельного участка: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согласно Кадастровой выписке о земельном участке от 16.11.2016г. № 77/501/16-1306186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земельного участка: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3112 ± 20  </w:t>
      </w:r>
      <w:proofErr w:type="spell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кв</w:t>
      </w:r>
      <w:proofErr w:type="gram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.м</w:t>
      </w:r>
      <w:proofErr w:type="spellEnd"/>
      <w:proofErr w:type="gramEnd"/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допустимого местоположения объекта капитального строительства на земельном участке: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границах заявленного земельного участка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подготовлен: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Комитетом по архитектуре и градостроительству города Москвы </w:t>
      </w:r>
    </w:p>
    <w:p w:rsidR="007B3B92" w:rsidRPr="007B3B92" w:rsidRDefault="007B3B92" w:rsidP="007B3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268"/>
        <w:gridCol w:w="1822"/>
        <w:gridCol w:w="2006"/>
        <w:gridCol w:w="3260"/>
      </w:tblGrid>
      <w:tr w:rsidR="007B3B92" w:rsidRPr="007B3B92" w:rsidTr="00E43269">
        <w:tc>
          <w:tcPr>
            <w:tcW w:w="6096" w:type="dxa"/>
            <w:gridSpan w:val="3"/>
          </w:tcPr>
          <w:p w:rsidR="007B3B92" w:rsidRPr="007B3B92" w:rsidRDefault="007B3B92" w:rsidP="007B3B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Заместитель председателя Москомархитектуры</w:t>
            </w:r>
          </w:p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6600"/>
                <w:sz w:val="24"/>
                <w:szCs w:val="24"/>
                <w:lang w:eastAsia="ru-RU"/>
              </w:rPr>
            </w:pPr>
          </w:p>
        </w:tc>
      </w:tr>
      <w:tr w:rsidR="007B3B92" w:rsidRPr="007B3B92" w:rsidTr="00E43269">
        <w:tc>
          <w:tcPr>
            <w:tcW w:w="2268" w:type="dxa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822" w:type="dxa"/>
          </w:tcPr>
          <w:p w:rsidR="007B3B92" w:rsidRPr="007B3B92" w:rsidRDefault="007B3B92" w:rsidP="007B3B9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</w:tcPr>
          <w:p w:rsidR="007B3B92" w:rsidRPr="007B3B92" w:rsidRDefault="007B3B92" w:rsidP="007B3B9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B3B92" w:rsidRPr="007B3B92" w:rsidRDefault="007B3B92" w:rsidP="007B3B92">
            <w:pPr>
              <w:pBdr>
                <w:bottom w:val="single" w:sz="4" w:space="1" w:color="auto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  А.Ю. Сухов /</w:t>
            </w:r>
          </w:p>
        </w:tc>
      </w:tr>
      <w:tr w:rsidR="007B3B92" w:rsidRPr="007B3B92" w:rsidTr="00E43269">
        <w:tc>
          <w:tcPr>
            <w:tcW w:w="2268" w:type="dxa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006" w:type="dxa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60" w:type="dxa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proofErr w:type="gramEnd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Комитетом по архитектуре и градостроительству        города Москвы </w:t>
      </w:r>
    </w:p>
    <w:tbl>
      <w:tblPr>
        <w:tblW w:w="0" w:type="auto"/>
        <w:tblInd w:w="1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</w:tblGrid>
      <w:tr w:rsidR="007B3B92" w:rsidRPr="007B3B92" w:rsidTr="00E43269">
        <w:tc>
          <w:tcPr>
            <w:tcW w:w="2093" w:type="dxa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B3B92" w:rsidRPr="007B3B92" w:rsidTr="00E43269">
        <w:tc>
          <w:tcPr>
            <w:tcW w:w="2093" w:type="dxa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B3B92" w:rsidRPr="007B3B92" w:rsidRDefault="007B3B92" w:rsidP="007B3B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приказом Комитета по архитектуре и градостроительству города Москвы.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3B92" w:rsidRPr="007B3B92" w:rsidRDefault="007B3B92" w:rsidP="007B3B9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ГРАДОСТРОИТЕЛЬНОМ РЕГЛАМЕНТЕ ЛИБО ТРЕБОВАНИЯХ К НАЗНАЧЕНИЮ, ПАРАМЕТРАМ И РАЗМЕЩЕНИЮ ОБЪЕКТА КАПИТАЛЬНОГО СТРОИТЕЛЬСТВА</w:t>
      </w:r>
      <w:r w:rsidRPr="007B3B92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  <w:lang w:eastAsia="ru-RU"/>
        </w:rPr>
        <w:endnoteReference w:customMarkFollows="1" w:id="1"/>
        <w:t>*</w:t>
      </w:r>
      <w:r w:rsidRPr="007B3B9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Информация о видах разрешенного использования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B3B92">
        <w:rPr>
          <w:rFonts w:ascii="Times New Roman" w:eastAsia="Times New Roman" w:hAnsi="Times New Roman" w:cs="Times New Roman"/>
          <w:sz w:val="24"/>
          <w:szCs w:val="28"/>
          <w:lang w:eastAsia="ru-RU"/>
        </w:rPr>
        <w:t>земельного участка: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виды разрешенного использования земельного участка:</w:t>
      </w:r>
    </w:p>
    <w:p w:rsidR="007B3B92" w:rsidRPr="007B3B92" w:rsidRDefault="007B3B92" w:rsidP="007B3B9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религиозное использование (3.7);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SD_Kod_Build_R"/>
      <w:bookmarkEnd w:id="1"/>
      <w:r w:rsidRPr="007B3B92">
        <w:rPr>
          <w:rFonts w:ascii="Times New Roman" w:eastAsia="Times New Roman" w:hAnsi="Times New Roman" w:cs="Times New Roman"/>
          <w:sz w:val="24"/>
          <w:szCs w:val="28"/>
          <w:lang w:eastAsia="ru-RU"/>
        </w:rPr>
        <w:t>условно разрешенные виды использования земельного участка:</w:t>
      </w:r>
    </w:p>
    <w:p w:rsidR="007B3B92" w:rsidRPr="007B3B92" w:rsidRDefault="007B3B92" w:rsidP="007B3B9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</w:t>
      </w:r>
      <w:proofErr w:type="gram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установлены</w:t>
      </w:r>
      <w:proofErr w:type="gramEnd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8"/>
          <w:lang w:eastAsia="ru-RU"/>
        </w:rPr>
        <w:t>вспомогательные виды использования земельного участка:</w:t>
      </w:r>
    </w:p>
    <w:p w:rsidR="007B3B92" w:rsidRPr="007B3B92" w:rsidRDefault="007B3B92" w:rsidP="007B3B9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</w:t>
      </w:r>
      <w:proofErr w:type="gram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установлены</w:t>
      </w:r>
      <w:proofErr w:type="gramEnd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Требования к назначению, параметрам и размещению объекта капитального строительства на указанном земельном участке: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не </w:t>
      </w:r>
      <w:proofErr w:type="gramStart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установлены</w:t>
      </w:r>
      <w:proofErr w:type="gramEnd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</w:p>
    <w:p w:rsidR="007B3B92" w:rsidRPr="007B3B92" w:rsidRDefault="007B3B92" w:rsidP="007B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объекта капитального строительства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tbl>
      <w:tblPr>
        <w:tblW w:w="817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70"/>
        <w:gridCol w:w="6440"/>
      </w:tblGrid>
      <w:tr w:rsidR="007B3B92" w:rsidRPr="007B3B92" w:rsidTr="00E4326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B92" w:rsidRPr="007B3B92" w:rsidTr="00E43269"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(согласно чертежу)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(назначение объекта капитального строительства)</w:t>
            </w:r>
          </w:p>
        </w:tc>
      </w:tr>
    </w:tbl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включая площадь</w:t>
      </w:r>
      <w:hyperlink r:id="rId9" w:history="1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6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1276"/>
        <w:gridCol w:w="992"/>
        <w:gridCol w:w="850"/>
        <w:gridCol w:w="1843"/>
        <w:gridCol w:w="871"/>
        <w:gridCol w:w="850"/>
        <w:gridCol w:w="1135"/>
      </w:tblGrid>
      <w:tr w:rsidR="007B3B92" w:rsidRPr="007B3B92" w:rsidTr="00E43269">
        <w:trPr>
          <w:trHeight w:val="7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Кадастровый номер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земельного участка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Ширина (м)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Зоны </w:t>
            </w:r>
            <w:proofErr w:type="gramStart"/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особыми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условиями использования территорий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Зоны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действия публичных сервитутов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земельного участка</w:t>
            </w: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Номер объекта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капитального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строительства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согласно чертежу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градостроительного плана земельного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</w:t>
            </w: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застройки земельного участка</w:t>
            </w: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</w:tr>
      <w:tr w:rsidR="007B3B92" w:rsidRPr="007B3B92" w:rsidTr="00E43269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B92" w:rsidRPr="007B3B92" w:rsidTr="00E43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7B3B92" w:rsidRPr="007B3B92" w:rsidTr="00E4326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3B9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 </w:t>
      </w:r>
      <w:proofErr w:type="gramStart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Предельное количество этажей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– для дома причта - 4 этажа, в </w:t>
      </w:r>
      <w:proofErr w:type="spellStart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т.ч</w:t>
      </w:r>
      <w:proofErr w:type="spellEnd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. 1 подземный </w:t>
      </w: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предельная высота зданий, строений, сооружений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– для храмового комплекса - 41,5 м (до креста).</w:t>
      </w:r>
      <w:proofErr w:type="gramEnd"/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Максимальный процент застройки в границах земельного участка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- не установлен.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Иные показатели: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Новое строительство: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храмового комплекса –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1500 </w:t>
      </w:r>
      <w:proofErr w:type="spellStart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кв.м</w:t>
      </w:r>
      <w:proofErr w:type="spellEnd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дома причта –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1500 </w:t>
      </w:r>
      <w:proofErr w:type="spellStart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кв.м</w:t>
      </w:r>
      <w:proofErr w:type="spellEnd"/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</w:p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6"/>
      </w:tblGrid>
      <w:tr w:rsidR="007B3B92" w:rsidRPr="007B3B92" w:rsidTr="00E43269">
        <w:tc>
          <w:tcPr>
            <w:tcW w:w="9616" w:type="dxa"/>
          </w:tcPr>
          <w:p w:rsidR="007B3B92" w:rsidRPr="007B3B92" w:rsidRDefault="007B3B92" w:rsidP="007B3B9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Архитектурно-</w:t>
            </w:r>
            <w:proofErr w:type="gramStart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градостроительное решение</w:t>
            </w:r>
            <w:proofErr w:type="gramEnd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объекта капитального строительства подлежит обязательному рассмотрению </w:t>
            </w:r>
            <w:proofErr w:type="spellStart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Архитектурным</w:t>
            </w:r>
            <w:proofErr w:type="spellEnd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советом</w:t>
            </w:r>
            <w:proofErr w:type="spellEnd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города</w:t>
            </w:r>
            <w:proofErr w:type="spellEnd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Москвы</w:t>
            </w:r>
            <w:proofErr w:type="spellEnd"/>
            <w:r w:rsidRPr="007B3B9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B3B9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</w:p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Требования к назначению, параметрам и размещению объекта капитального строительства на указанном земельном участке</w:t>
      </w:r>
    </w:p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</w:t>
      </w:r>
      <w:proofErr w:type="gramStart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установлены</w:t>
      </w:r>
      <w:proofErr w:type="gramEnd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B3B92" w:rsidRPr="007B3B92" w:rsidRDefault="007B3B92" w:rsidP="007B3B9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объекта капитального строительства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tbl>
      <w:tblPr>
        <w:tblW w:w="935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70"/>
        <w:gridCol w:w="7626"/>
      </w:tblGrid>
      <w:tr w:rsidR="007B3B92" w:rsidRPr="007B3B92" w:rsidTr="00E4326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B92" w:rsidRPr="007B3B92" w:rsidTr="00E43269">
        <w:trPr>
          <w:trHeight w:val="7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(согласно чертежу)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(назначение объекта капитального строительства)</w:t>
            </w:r>
          </w:p>
        </w:tc>
      </w:tr>
    </w:tbl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(минимальные и (или) максимальные) размеры земельных участков: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7B3B92" w:rsidRPr="007B3B92" w:rsidRDefault="007B3B92" w:rsidP="007B3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418"/>
        <w:gridCol w:w="1645"/>
        <w:gridCol w:w="1703"/>
        <w:gridCol w:w="1703"/>
      </w:tblGrid>
      <w:tr w:rsidR="007B3B92" w:rsidRPr="007B3B92" w:rsidTr="00E4326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участка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чертежу градостроительного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Длина (м)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Ширина (м)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Зоны с особыми условиями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использования территорий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Зоны действия </w:t>
            </w:r>
            <w:proofErr w:type="gramStart"/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публичных</w:t>
            </w:r>
            <w:proofErr w:type="gramEnd"/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сервитутов (кв. м)</w:t>
            </w:r>
          </w:p>
        </w:tc>
      </w:tr>
      <w:tr w:rsidR="007B3B92" w:rsidRPr="007B3B92" w:rsidTr="00E4326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B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B3B92" w:rsidRPr="007B3B92" w:rsidTr="00E4326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92" w:rsidRPr="007B3B92" w:rsidRDefault="007B3B92" w:rsidP="007B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3B92" w:rsidRPr="007B3B92" w:rsidRDefault="007B3B92" w:rsidP="007B3B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92" w:rsidRPr="007B3B92" w:rsidRDefault="007B3B92" w:rsidP="007B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О РАСПОЛОЖЕННЫХ В ГРАНИЦАХ ЗЕМЕЛЬНОГО УЧАСТКА ОБЪЕКТАХ КАПИТАЛЬНОГО СТРОИТЕЛЬСТВА И ОБЪЕКТАХ КУЛЬТУРНОГО НАСЛЕДИЯ</w:t>
      </w:r>
    </w:p>
    <w:p w:rsidR="007B3B92" w:rsidRPr="007B3B92" w:rsidRDefault="007B3B92" w:rsidP="007B3B92">
      <w:pPr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Объекты капитального строительства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отсутствуют.</w:t>
      </w:r>
    </w:p>
    <w:p w:rsidR="007B3B92" w:rsidRPr="007B3B92" w:rsidRDefault="007B3B92" w:rsidP="007B3B92">
      <w:pPr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CapObject"/>
      <w:bookmarkEnd w:id="2"/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3.2. Объектов, включенных в Единый государственный реестр объектов культурного наследия (памятников истории и культуры) народов Российской Федерации, </w:t>
      </w:r>
      <w:r w:rsidRPr="007B3B9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         не имеется.</w:t>
      </w:r>
      <w:r w:rsidRPr="007B3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B92" w:rsidRPr="007B3B92" w:rsidRDefault="007B3B92" w:rsidP="007B3B92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CapCultObject"/>
      <w:bookmarkEnd w:id="3"/>
    </w:p>
    <w:p w:rsidR="007B3B92" w:rsidRPr="007B3B92" w:rsidRDefault="007B3B92" w:rsidP="007B3B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РАЗДЕЛЕНИИ ЗЕМЕЛЬНОГО УЧАСТКА</w:t>
      </w:r>
    </w:p>
    <w:p w:rsidR="007B3B92" w:rsidRPr="007B3B92" w:rsidRDefault="007B3B92" w:rsidP="007B3B92">
      <w:pPr>
        <w:spacing w:before="240" w:after="24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Возможность разделения земельного участка может быть установлена проектом межевания.</w:t>
      </w:r>
    </w:p>
    <w:p w:rsidR="007B3B92" w:rsidRPr="007B3B92" w:rsidRDefault="007B3B92" w:rsidP="007B3B92">
      <w:pPr>
        <w:suppressAutoHyphens/>
        <w:spacing w:after="24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7B3B92" w:rsidRPr="007B3B92" w:rsidRDefault="007B3B92" w:rsidP="007B3B92">
      <w:pPr>
        <w:spacing w:after="240" w:line="240" w:lineRule="auto"/>
        <w:ind w:firstLine="53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4" w:name="TechCondition"/>
      <w:bookmarkEnd w:id="4"/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Отсутствует</w:t>
      </w:r>
    </w:p>
    <w:p w:rsidR="007B3B92" w:rsidRPr="007B3B92" w:rsidRDefault="007B3B92" w:rsidP="007B3B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ИНФОРМАЦИЯ О НАЛИЧИИ </w:t>
      </w:r>
      <w:proofErr w:type="gramStart"/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 ЗОНЫ ПЛАНИРУЕМОГО РАЗМЕЩЕНИЯ ОБЪЕКТОВ КАПИТАЛЬНОГО СТРОИТЕЛЬСТВА</w:t>
      </w:r>
      <w:proofErr w:type="gramEnd"/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ГОСУДАРСТВЕННЫХ ИЛИ МУНИЦИПАЛЬНЫХ НУЖД</w:t>
      </w:r>
    </w:p>
    <w:p w:rsidR="007B3B92" w:rsidRPr="007B3B92" w:rsidRDefault="007B3B92" w:rsidP="007B3B92">
      <w:pPr>
        <w:spacing w:before="240" w:after="24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Отсутствует</w:t>
      </w:r>
    </w:p>
    <w:p w:rsidR="007B3B92" w:rsidRPr="007B3B92" w:rsidRDefault="007B3B92" w:rsidP="007B3B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ИНАЯ ИНФОРМАЦИЯ</w:t>
      </w:r>
    </w:p>
    <w:p w:rsidR="007B3B92" w:rsidRPr="007B3B92" w:rsidRDefault="007B3B92" w:rsidP="007B3B92">
      <w:pPr>
        <w:spacing w:before="240" w:after="24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B9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Отсутствует</w:t>
      </w:r>
    </w:p>
    <w:p w:rsidR="00925989" w:rsidRDefault="007B3B92" w:rsidP="00925989">
      <w:pPr>
        <w:pStyle w:val="a8"/>
        <w:keepNext/>
        <w:jc w:val="both"/>
        <w:rPr>
          <w:b/>
          <w:i/>
          <w:sz w:val="28"/>
          <w:szCs w:val="28"/>
        </w:rPr>
      </w:pPr>
      <w:r w:rsidRPr="007B3B92">
        <w:rPr>
          <w:sz w:val="24"/>
          <w:szCs w:val="24"/>
        </w:rPr>
        <w:t>При подготовке градостроительного плана земельного участка использованы данные</w:t>
      </w:r>
      <w:r w:rsidRPr="007B3B92">
        <w:rPr>
          <w:b/>
          <w:i/>
          <w:sz w:val="28"/>
          <w:szCs w:val="28"/>
        </w:rPr>
        <w:t xml:space="preserve"> Интегрированной автоматизированной информационной системы обеспечения градостроительной деятельности города Москвы (ИАИС ОГД), ФГБУ "ФКП </w:t>
      </w:r>
      <w:proofErr w:type="spellStart"/>
      <w:r w:rsidRPr="007B3B92">
        <w:rPr>
          <w:b/>
          <w:i/>
          <w:sz w:val="28"/>
          <w:szCs w:val="28"/>
        </w:rPr>
        <w:t>Росреестра</w:t>
      </w:r>
      <w:proofErr w:type="spellEnd"/>
      <w:r w:rsidRPr="007B3B92">
        <w:rPr>
          <w:b/>
          <w:i/>
          <w:sz w:val="28"/>
          <w:szCs w:val="28"/>
        </w:rPr>
        <w:t>" по Москве</w:t>
      </w:r>
      <w:r w:rsidR="00925989">
        <w:rPr>
          <w:b/>
          <w:i/>
          <w:sz w:val="28"/>
          <w:szCs w:val="28"/>
        </w:rPr>
        <w:t>.</w:t>
      </w:r>
    </w:p>
    <w:p w:rsidR="00925989" w:rsidRDefault="00925989" w:rsidP="00925989">
      <w:pPr>
        <w:pStyle w:val="a8"/>
        <w:keepNext/>
        <w:jc w:val="both"/>
        <w:rPr>
          <w:color w:val="000000"/>
        </w:rPr>
      </w:pPr>
      <w:r w:rsidRPr="00925989">
        <w:rPr>
          <w:rStyle w:val="aa"/>
          <w:color w:val="FF0000"/>
          <w:sz w:val="28"/>
        </w:rPr>
        <w:t xml:space="preserve"> </w:t>
      </w:r>
      <w:r w:rsidRPr="00833CF2">
        <w:rPr>
          <w:rStyle w:val="aa"/>
          <w:color w:val="FF0000"/>
          <w:sz w:val="28"/>
        </w:rPr>
        <w:t>*</w:t>
      </w:r>
      <w:r w:rsidRPr="00833CF2">
        <w:rPr>
          <w:color w:val="FF0000"/>
          <w:sz w:val="28"/>
        </w:rPr>
        <w:t xml:space="preserve"> </w:t>
      </w:r>
      <w:r>
        <w:rPr>
          <w:color w:val="000000"/>
        </w:rPr>
        <w:t>1. Информация представлена на основании:</w:t>
      </w:r>
    </w:p>
    <w:p w:rsidR="00925989" w:rsidRDefault="00925989" w:rsidP="00925989">
      <w:pPr>
        <w:pStyle w:val="a8"/>
        <w:keepNext/>
        <w:jc w:val="both"/>
        <w:rPr>
          <w:i/>
          <w:color w:val="000000"/>
        </w:rPr>
      </w:pPr>
      <w:r>
        <w:rPr>
          <w:i/>
          <w:color w:val="000000"/>
        </w:rPr>
        <w:t xml:space="preserve">1.1. Протокола заседания Рабочей группы </w:t>
      </w:r>
      <w:proofErr w:type="spellStart"/>
      <w:r>
        <w:rPr>
          <w:i/>
          <w:color w:val="000000"/>
        </w:rPr>
        <w:t>Градостроительно</w:t>
      </w:r>
      <w:proofErr w:type="spellEnd"/>
      <w:r>
        <w:rPr>
          <w:i/>
          <w:color w:val="000000"/>
        </w:rPr>
        <w:t>-земельной комиссии города Москвы по вопросам градостроительной деятельности от 26.12.2016 года № 51.</w:t>
      </w:r>
    </w:p>
    <w:p w:rsidR="00925989" w:rsidRDefault="00925989" w:rsidP="00925989">
      <w:pPr>
        <w:pStyle w:val="a8"/>
        <w:keepNext/>
        <w:jc w:val="both"/>
        <w:rPr>
          <w:i/>
          <w:color w:val="000000"/>
        </w:rPr>
      </w:pPr>
    </w:p>
    <w:p w:rsidR="007B3B92" w:rsidRDefault="007B3B92" w:rsidP="00925989">
      <w:pPr>
        <w:spacing w:before="240" w:after="240" w:line="240" w:lineRule="auto"/>
        <w:ind w:firstLine="540"/>
        <w:jc w:val="both"/>
      </w:pPr>
    </w:p>
    <w:sectPr w:rsidR="007B3B92" w:rsidSect="004C04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4D" w:rsidRDefault="00DF0A4D" w:rsidP="007B3B92">
      <w:pPr>
        <w:spacing w:after="0" w:line="240" w:lineRule="auto"/>
      </w:pPr>
      <w:r>
        <w:separator/>
      </w:r>
    </w:p>
  </w:endnote>
  <w:endnote w:type="continuationSeparator" w:id="0">
    <w:p w:rsidR="00DF0A4D" w:rsidRDefault="00DF0A4D" w:rsidP="007B3B92">
      <w:pPr>
        <w:spacing w:after="0" w:line="240" w:lineRule="auto"/>
      </w:pPr>
      <w:r>
        <w:continuationSeparator/>
      </w:r>
    </w:p>
  </w:endnote>
  <w:endnote w:id="1">
    <w:p w:rsidR="00925989" w:rsidRDefault="00925989" w:rsidP="007B3B92">
      <w:pPr>
        <w:pStyle w:val="a8"/>
        <w:keepNext/>
        <w:jc w:val="both"/>
        <w:rPr>
          <w:i/>
          <w:color w:val="000000"/>
        </w:rPr>
      </w:pPr>
      <w:r w:rsidRPr="00925989">
        <w:rPr>
          <w:i/>
          <w:color w:val="000000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1" o:title=""/>
          </v:shape>
          <o:OLEObject Type="Embed" ProgID="AcroExch.Document.DC" ShapeID="_x0000_i1025" DrawAspect="Content" ObjectID="_1551172210" r:id="rId2"/>
        </w:object>
      </w:r>
    </w:p>
    <w:p w:rsidR="00925989" w:rsidRPr="00833CF2" w:rsidRDefault="00925989" w:rsidP="007B3B92">
      <w:pPr>
        <w:pStyle w:val="a8"/>
        <w:keepNext/>
        <w:jc w:val="both"/>
        <w:rPr>
          <w:i/>
          <w:color w:val="00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4D" w:rsidRDefault="00DF0A4D" w:rsidP="007B3B92">
      <w:pPr>
        <w:spacing w:after="0" w:line="240" w:lineRule="auto"/>
      </w:pPr>
      <w:r>
        <w:separator/>
      </w:r>
    </w:p>
  </w:footnote>
  <w:footnote w:type="continuationSeparator" w:id="0">
    <w:p w:rsidR="00DF0A4D" w:rsidRDefault="00DF0A4D" w:rsidP="007B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B96"/>
    <w:multiLevelType w:val="singleLevel"/>
    <w:tmpl w:val="F2F66FC6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abstractNum w:abstractNumId="2">
    <w:nsid w:val="439A3623"/>
    <w:multiLevelType w:val="singleLevel"/>
    <w:tmpl w:val="F2F66FC6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641D66A4"/>
    <w:multiLevelType w:val="singleLevel"/>
    <w:tmpl w:val="F2F66FC6"/>
    <w:lvl w:ilvl="0">
      <w:start w:val="1"/>
      <w:numFmt w:val="bullet"/>
      <w:lvlRestart w:val="0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7D644A70"/>
    <w:multiLevelType w:val="hybridMultilevel"/>
    <w:tmpl w:val="D3D41000"/>
    <w:lvl w:ilvl="0" w:tplc="B850887E">
      <w:start w:val="2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37"/>
    <w:rsid w:val="00412D80"/>
    <w:rsid w:val="007B3B92"/>
    <w:rsid w:val="00925989"/>
    <w:rsid w:val="00977DBD"/>
    <w:rsid w:val="00B73737"/>
    <w:rsid w:val="00DB4AD0"/>
    <w:rsid w:val="00DF0A4D"/>
    <w:rsid w:val="00F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73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12D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2D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2D80"/>
    <w:pPr>
      <w:ind w:left="720"/>
      <w:contextualSpacing/>
    </w:pPr>
  </w:style>
  <w:style w:type="paragraph" w:styleId="a8">
    <w:name w:val="endnote text"/>
    <w:basedOn w:val="a"/>
    <w:link w:val="a9"/>
    <w:rsid w:val="007B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7B3B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7B3B9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2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5989"/>
  </w:style>
  <w:style w:type="paragraph" w:styleId="ad">
    <w:name w:val="footer"/>
    <w:basedOn w:val="a"/>
    <w:link w:val="ae"/>
    <w:uiPriority w:val="99"/>
    <w:unhideWhenUsed/>
    <w:rsid w:val="0092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73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412D8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2D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12D80"/>
    <w:pPr>
      <w:ind w:left="720"/>
      <w:contextualSpacing/>
    </w:pPr>
  </w:style>
  <w:style w:type="paragraph" w:styleId="a8">
    <w:name w:val="endnote text"/>
    <w:basedOn w:val="a"/>
    <w:link w:val="a9"/>
    <w:rsid w:val="007B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7B3B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rsid w:val="007B3B9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2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5989"/>
  </w:style>
  <w:style w:type="paragraph" w:styleId="ad">
    <w:name w:val="footer"/>
    <w:basedOn w:val="a"/>
    <w:link w:val="ae"/>
    <w:uiPriority w:val="99"/>
    <w:unhideWhenUsed/>
    <w:rsid w:val="00925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B04FFC37F15BE886FC407999F4C31BB1CA1089A2AACD4C85983D1FAAF85556B3537ECA4BBBB40DZ1F5H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2017-03-15T06:51:00Z</cp:lastPrinted>
  <dcterms:created xsi:type="dcterms:W3CDTF">2017-03-06T08:17:00Z</dcterms:created>
  <dcterms:modified xsi:type="dcterms:W3CDTF">2017-03-16T09:24:00Z</dcterms:modified>
</cp:coreProperties>
</file>