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65" w:rsidRPr="00A83065" w:rsidRDefault="00A83065" w:rsidP="00A83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83065" w:rsidRPr="00A83065" w:rsidRDefault="00A83065" w:rsidP="00A83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065" w:rsidRPr="00A83065" w:rsidRDefault="00A83065" w:rsidP="00A83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3065" w:rsidRPr="00A83065" w:rsidRDefault="00A83065" w:rsidP="00A83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3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83065" w:rsidRPr="00A83065" w:rsidRDefault="00A83065" w:rsidP="00A83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3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83065" w:rsidRPr="00A83065" w:rsidRDefault="00A83065" w:rsidP="00A8306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06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A83065" w:rsidRPr="00A83065" w:rsidRDefault="00A83065" w:rsidP="00A83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3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83065" w:rsidRPr="00A83065" w:rsidRDefault="00A83065" w:rsidP="00A8306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3065" w:rsidRPr="00A83065" w:rsidRDefault="00A83065" w:rsidP="00A8306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3065">
        <w:rPr>
          <w:rFonts w:ascii="Times New Roman" w:eastAsia="Times New Roman" w:hAnsi="Times New Roman" w:cs="Times New Roman"/>
          <w:sz w:val="24"/>
          <w:szCs w:val="28"/>
          <w:lang w:eastAsia="ru-RU"/>
        </w:rPr>
        <w:t>27.10.2022  г. № 02/0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A83065" w:rsidRPr="00A83065" w:rsidRDefault="00A83065" w:rsidP="00A83065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проекте решения Совета депутатов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 округа Богородское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«О бюджете муниципального округа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Богородское на 2023 год и плановый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период 2024 и 2025 годов»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proofErr w:type="gramStart"/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Законом города Москвы от 10 сентября 2008 № 39 «О бюджетном устройстве и бюджетном процессе в городе Москве», проектом Закона города</w:t>
      </w:r>
      <w:proofErr w:type="gramEnd"/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Москвы «О бюджете города Москвы на 2023 год и плановый период 2024 и 2025 годов», Уставом муниципального округа Богородское, Положением о бюджетном процессе в муниципальном округе Богородское, утвержденным решением Совета депутатов от 23 октября 2014 года № 14/03,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Одобрить в первом чтении проект решения Совета депутатов муниципального округа Богородское «О бюджете муниципального округа Богородское </w:t>
      </w: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на 2023 год и плановый период 2024 и 2025 годов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» (приложение 1).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2. Утвердить общий объем д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оходов бюджета муниципального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Богородское на 2023 год в сумме 24 712,4 тыс. руб.; на 2024 год в сумме 24 198,4 тыс. руб. и на 2025 год в сумме 24</w:t>
      </w:r>
      <w:r w:rsidRPr="00036C26">
        <w:rPr>
          <w:rFonts w:ascii="Times New Roman" w:eastAsia="Calibri" w:hAnsi="Times New Roman" w:cs="Times New Roman"/>
          <w:sz w:val="26"/>
          <w:szCs w:val="26"/>
          <w:lang w:val="en-GB" w:eastAsia="ru-RU"/>
        </w:rPr>
        <w:t> 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201,8 тыс. руб.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</w:t>
      </w:r>
      <w:proofErr w:type="gramStart"/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Утвердить общий объем расходов бюджета муниципального округа Богородское на 2023 год в сумме 24 712,4 тыс. руб.;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2024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24 198,4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605,0 тыс. рублей и на 2025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24 201,8 тыс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. рублей, в том числе условно утвержденные расходы в сумме 1 210,1 тыс. рублей;</w:t>
      </w:r>
      <w:proofErr w:type="gramEnd"/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Утвердить дефицит/профицит бюджета на 2023 год в сумме 0,0 тыс. руб., плановый период 2024 года в сумме 0,0 тыс. руб. и 2025 год в сумме 0,0 тыс. руб.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5. Одобрить основные направления бюджетной и налоговой политики муниципального округа Богородское на 2023 год и плановый период 2024 и 2025 годов (приложение 2).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6. Назначить публичные слушания по проекту решения Совета депутатов муниципального округа Богородское «О бюджете муниципального округа Богородское на 2023 год и плановый период 2024 и 2025 годов»: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6.1. Дата проведения    08.12.2022 г.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6.2. Время проведения: 16.00. - 17.00.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6.3. Место проведения: г. Москва, ул. Краснобогатырская, дом 11 (помещение Совета депутатов муниципального округа Богородское).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7. Создать рабочую группу по организации и проведению публичных слушаний по проекту решения Совета депутатов муниципального округа Богородское «О бюджете муниципального округа Богородское на 2023 год и плановый период 2024 и 2025 годов» (приложение 3).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8. Направить проект решения Совета депутатов муниципального округа Богородское «О бюджете муниципального округа Богородское на 2023 год и плановый период 2024 и 2025 годов» в Контрольно-счетную палату города Москвы.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9.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Богородское </w:t>
      </w:r>
      <w:r w:rsidRPr="00036C26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www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bogorodskoe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mo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ru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10. </w:t>
      </w:r>
      <w:proofErr w:type="gramStart"/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округа Богородское  Воловика К.Е.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Глава  </w:t>
      </w:r>
      <w:proofErr w:type="gramStart"/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</w:t>
      </w:r>
      <w:proofErr w:type="gramEnd"/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округа Богородское          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  <w:t xml:space="preserve">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К.Е. Воловик</w:t>
      </w:r>
    </w:p>
    <w:p w:rsidR="00036C26" w:rsidRPr="00036C26" w:rsidRDefault="00036C26" w:rsidP="00036C2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27.10.2022 г. №</w:t>
      </w:r>
      <w:r w:rsidR="00A83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02/03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ar-SA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ПРОЕКТ</w:t>
      </w:r>
    </w:p>
    <w:p w:rsidR="00036C26" w:rsidRPr="00036C26" w:rsidRDefault="00036C26" w:rsidP="00036C26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36C26" w:rsidRPr="00036C26" w:rsidRDefault="00036C26" w:rsidP="00036C26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36C26" w:rsidRPr="00036C26" w:rsidRDefault="00036C26" w:rsidP="00036C26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36C26" w:rsidRPr="00036C26" w:rsidRDefault="00036C26" w:rsidP="00036C26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36C26" w:rsidRPr="00036C26" w:rsidRDefault="00036C26" w:rsidP="00036C26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 бюджете муниципального округа Богородское на 2023 год и плановый период 2024 и 2025 годов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proofErr w:type="gramStart"/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проектом Закона города Москвы «</w:t>
      </w:r>
      <w:r w:rsidRPr="00036C26">
        <w:rPr>
          <w:rFonts w:ascii="Times New Roman" w:eastAsia="Calibri" w:hAnsi="Times New Roman" w:cs="Arial"/>
          <w:sz w:val="26"/>
          <w:szCs w:val="26"/>
        </w:rPr>
        <w:t>О</w:t>
      </w:r>
      <w:proofErr w:type="gramEnd"/>
      <w:r w:rsidRPr="00036C26">
        <w:rPr>
          <w:rFonts w:ascii="Times New Roman" w:eastAsia="Calibri" w:hAnsi="Times New Roman" w:cs="Arial"/>
          <w:sz w:val="26"/>
          <w:szCs w:val="26"/>
        </w:rPr>
        <w:t xml:space="preserve"> </w:t>
      </w:r>
      <w:proofErr w:type="gramStart"/>
      <w:r w:rsidRPr="00036C26">
        <w:rPr>
          <w:rFonts w:ascii="Times New Roman" w:eastAsia="Calibri" w:hAnsi="Times New Roman" w:cs="Arial"/>
          <w:sz w:val="26"/>
          <w:szCs w:val="26"/>
        </w:rPr>
        <w:t xml:space="preserve">бюджете города Москвы 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на 2023 год и плановый период 2024 и 2025 годов», Уставом муниципального округа Богородское, Положением о бюджетном процессе в муниципальном округе Богородское в городе Москве, утвержденным решением Совета депутатов муниципального округа Богородское от 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23 октября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 201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4 года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 № 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14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>/</w:t>
      </w:r>
      <w:r w:rsidRPr="00036C26">
        <w:rPr>
          <w:rFonts w:ascii="Times New Roman" w:eastAsia="Calibri" w:hAnsi="Times New Roman" w:cs="Arial"/>
          <w:bCs/>
          <w:sz w:val="26"/>
          <w:szCs w:val="26"/>
          <w:lang w:eastAsia="ru-RU"/>
        </w:rPr>
        <w:t>0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3, </w:t>
      </w:r>
      <w:proofErr w:type="gramEnd"/>
    </w:p>
    <w:p w:rsidR="00036C26" w:rsidRPr="00036C26" w:rsidRDefault="00036C26" w:rsidP="0003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 w:rsidRPr="00036C26">
        <w:rPr>
          <w:rFonts w:ascii="Times New Roman" w:eastAsia="Calibri" w:hAnsi="Times New Roman" w:cs="Arial"/>
          <w:b/>
          <w:sz w:val="26"/>
          <w:szCs w:val="26"/>
          <w:lang w:eastAsia="ru-RU"/>
        </w:rPr>
        <w:t>Совет депутатов муниципального округа Богородское  решил</w:t>
      </w:r>
      <w:r w:rsidRPr="00036C26">
        <w:rPr>
          <w:rFonts w:ascii="Times New Roman" w:eastAsia="Calibri" w:hAnsi="Times New Roman" w:cs="Arial"/>
          <w:sz w:val="26"/>
          <w:szCs w:val="26"/>
          <w:lang w:eastAsia="ru-RU"/>
        </w:rPr>
        <w:t>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 Утвердить бюджет муниципального округа Богородское на 2023 год и плановый период 2024 и 2025 годов со следующими характеристиками и показателями: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1.1. Основные характеристики бюджета муниципального округа Богородское на 2023 год: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1.1.1) общий объем доходов бюджета муниципального округа Богородское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24 712,4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1.1.2) общий объем расходов бюджета муниципального округа Богородское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24 712,4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1.1.3) дефицит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(-), 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профицит (+) бюджета муниципального округа Богородское в сумме 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1.2. Основные характеристики бюджета муниципального округа Богородское на 2024 год и 2025 год</w:t>
      </w:r>
      <w:r w:rsidRPr="00036C2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1.2.1) общий объем доходов бюджета муниципального округа Богородское на 2024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24 198,4 тыс. руб. и на 2025 год в сумме 24 201,8 тыс. руб.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1.2.2) общий объем расходов бюджета муниципального округа Богородское на 2024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24 198,4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605,0 тыс. рублей и на 2025 год в сумме 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24 201,8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рублей, в том числе условно утвержденные расходы в сумме 1 210,1 тыс. рублей;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1.2.3)</w:t>
      </w:r>
      <w:r w:rsidRPr="00036C2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дефицит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(-), 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профицит (+) бюджета муниципального округа Богородское на 2024 год в сумме 0,0 тыс. рублей и на 2025 год в сумме 0,0 тыс. рублей</w:t>
      </w:r>
      <w:r w:rsidRPr="00036C2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. </w:t>
      </w:r>
    </w:p>
    <w:p w:rsidR="00036C26" w:rsidRPr="00036C26" w:rsidRDefault="00036C26" w:rsidP="00036C26">
      <w:pPr>
        <w:tabs>
          <w:tab w:val="left" w:pos="0"/>
          <w:tab w:val="left" w:pos="1276"/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1.3. Доходы бюджета муниципального округа Богородское в суммах согласно приложению 1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1.4. Распределение бюджетных ассигнований по разделам, подразделам, целевым статьям, группам (группам и подгруппам), видов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расходов классификации расходов бюджета муниципального округа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на 2023 год и на плановый период 2024 и 2025 годов согласно приложениям 2 и 3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1.5. Ведомственная структура расходов бюджета муниципального округа Богородское на 2023 год и на плановый период 2024 и 2025 годов согласно приложениям 4 и 5 к настоящему решению.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>1.6. Общий объем бюджетных ассигнований, направляемых на исполнение публичных нормативных обязательств, в 2023 году в сумме 0,0 тыс. рублей, в 2024 году в сумме 0,0 тыс. рублей, в 2025 году в сумме 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1.7. Источники финансирования дефицита бюджета муниципального округа Богородское на 2023 год и на плановый период 2024 и 2025 годов согласно приложению 6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1.8 Объем межбюджетных трансфертов, получаемых из бюджета города Москвы бюджетом муниципального округа Богородское в 2023 году в сумме 0,0 тыс. рублей, в 2024 году в сумме 0,0 тыс. рублей, в 2025 году в сумме 0,0 тыс. рублей. Объем межбюджетных трансфертов на 2023 год будет уточнен.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1.9. Объем межбюджетных трансфертов, предоставляемых бюджетом муниципального округа Богородское бюджету города Москвы на 2023 год и плановый период 2024 и 2025 годов согласно приложению 7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1.10. Программа муниципальных гарантий муниципального округа Богородское в валюте Российской Федерации на 2023 год и на плановый период 2024 и 2025 годов согласно приложению 8 к настоящему решению.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1.11. Программа муниципальных внутренних заимствований муниципального округа Богородское на 2023 год и на плановый период 2024 и 2025 годов согласно приложению 9 к настоящему решению.</w:t>
      </w:r>
    </w:p>
    <w:p w:rsidR="00036C26" w:rsidRPr="00036C26" w:rsidRDefault="00036C26" w:rsidP="00036C2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1.12. Резервный фонд аппарата Совета депутатов муниципального округа Богородское на 2023 год в сумме 30,0 тыс. рублей</w:t>
      </w:r>
      <w:r w:rsidRPr="00036C26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,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на 2024 год в сумме 30,0 тыс. рублей, на 2025 год в сумме 30,0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1.13. Установить: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1.13.1. В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муниципального округа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2024 года в сумме 0,0 тыс. рублей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, в том числе верхний предел долга по муниципальным гарантиям муниципального округа Богородское в сумме 0,0 тыс. рублей.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1.13.2.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муниципального округа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2025 года в сумме 0,0 тыс. рублей, в том числе верхний предел долга по муниципальным гарантиям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</w:t>
      </w:r>
      <w:r w:rsidR="00A83065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тыс. 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рублей и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ерхний предел муниципального внутреннего долга муниципального округа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  2026 года в сумме 0,0 тыс. рублей, в том числе верхний предел долга</w:t>
      </w:r>
      <w:proofErr w:type="gramEnd"/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по</w:t>
      </w:r>
      <w:proofErr w:type="gramEnd"/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муниципальным гарантиям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</w:t>
      </w:r>
      <w:r w:rsidR="00A83065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тыс. </w:t>
      </w:r>
      <w:r w:rsidRPr="00036C26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рублей.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proofErr w:type="gramStart"/>
      <w:r w:rsidRPr="00036C26">
        <w:rPr>
          <w:rFonts w:ascii="Times New Roman" w:eastAsia="Calibri" w:hAnsi="Times New Roman" w:cs="Times New Roman"/>
          <w:sz w:val="26"/>
          <w:szCs w:val="26"/>
        </w:rPr>
        <w:t>Установить, что полномочия по осуществлению отдельных функций  по проведению операций по исполнению бюджета муниципального округа Богородское, а также обеспечению информационног</w:t>
      </w:r>
      <w:bookmarkStart w:id="0" w:name="_GoBack"/>
      <w:bookmarkEnd w:id="0"/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о взаимодействия между территориальным органом Федерального казначейства и администраторами доходов местного бюджета в соответствии с п.5 распоряжения Правительства Москвы от 29 декабря 2005 года №2687-РП «О кассовом обслуживании исполнения бюджетов города Москвы» передаются аппаратом Совета депутатов муниципального округа Богородское </w:t>
      </w:r>
      <w:r w:rsidRPr="00036C26">
        <w:rPr>
          <w:rFonts w:ascii="Times New Roman" w:eastAsia="Calibri" w:hAnsi="Times New Roman" w:cs="Times New Roman"/>
          <w:sz w:val="26"/>
          <w:szCs w:val="26"/>
        </w:rPr>
        <w:lastRenderedPageBreak/>
        <w:t>Департаменту</w:t>
      </w:r>
      <w:proofErr w:type="gramEnd"/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 финансов города Москвы и осуществляются в соответствии с заключенным соглашением.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3. Установить, что остаток средств, образующийся в бюджете </w:t>
      </w:r>
      <w:r w:rsidRPr="00036C26">
        <w:rPr>
          <w:rFonts w:ascii="Times New Roman" w:eastAsia="Calibri" w:hAnsi="Times New Roman" w:cs="Times New Roman"/>
          <w:iCs/>
          <w:sz w:val="26"/>
          <w:szCs w:val="26"/>
        </w:rPr>
        <w:t xml:space="preserve">муниципального округа </w:t>
      </w:r>
      <w:r w:rsidRPr="00036C26">
        <w:rPr>
          <w:rFonts w:ascii="Times New Roman" w:eastAsia="Calibri" w:hAnsi="Times New Roman" w:cs="Times New Roman"/>
          <w:sz w:val="26"/>
          <w:szCs w:val="26"/>
        </w:rPr>
        <w:t>Богородское</w:t>
      </w:r>
      <w:r w:rsidRPr="00036C26">
        <w:rPr>
          <w:rFonts w:ascii="Times New Roman" w:eastAsia="Calibri" w:hAnsi="Times New Roman" w:cs="Times New Roman"/>
          <w:iCs/>
          <w:sz w:val="26"/>
          <w:szCs w:val="26"/>
        </w:rPr>
        <w:t xml:space="preserve"> на 1 января 2023 года, может быть направлен на покрытие кассового разрыва.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Богородское </w:t>
      </w:r>
      <w:r w:rsidRPr="00036C26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www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bogorodskoe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mo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ru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5. Настоящее решение вступает в силу с 1 января 2023 года. </w:t>
      </w:r>
    </w:p>
    <w:p w:rsidR="00036C26" w:rsidRPr="00036C26" w:rsidRDefault="00036C26" w:rsidP="00036C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6. </w:t>
      </w:r>
      <w:proofErr w:type="gramStart"/>
      <w:r w:rsidRPr="00036C26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036C26">
        <w:rPr>
          <w:rFonts w:ascii="Times New Roman" w:eastAsia="Calibri" w:hAnsi="Times New Roman" w:cs="Times New Roman"/>
          <w:sz w:val="26"/>
          <w:szCs w:val="26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Глава муниципального округа                                 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Богородское </w:t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     </w:t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>К.Е. Воловик</w:t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1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«___»_______№___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036C26" w:rsidRPr="00036C26" w:rsidTr="00036C26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округа Богородское</w:t>
            </w:r>
          </w:p>
        </w:tc>
      </w:tr>
      <w:tr w:rsidR="00036C26" w:rsidRPr="00036C26" w:rsidTr="00036C26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2023 год и плановый период 2024 и 2025 годов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36C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32"/>
        <w:gridCol w:w="1133"/>
        <w:gridCol w:w="1133"/>
        <w:gridCol w:w="1106"/>
      </w:tblGrid>
      <w:tr w:rsidR="00036C26" w:rsidRPr="00036C26" w:rsidTr="00036C26">
        <w:trPr>
          <w:trHeight w:val="3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036C26" w:rsidRPr="00036C26" w:rsidTr="00036C26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  <w:tr w:rsidR="00036C26" w:rsidRPr="00036C26" w:rsidTr="00036C26">
        <w:trPr>
          <w:trHeight w:val="4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182 1 01 00000 00 0000 000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  <w:tr w:rsidR="00036C26" w:rsidRPr="00036C26" w:rsidTr="00036C26">
        <w:trPr>
          <w:trHeight w:val="6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182 1 01 02000 01 0000 110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  <w:tr w:rsidR="00036C26" w:rsidRPr="00036C26" w:rsidTr="00036C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19 852,4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19 338,4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19 341,8</w:t>
            </w:r>
          </w:p>
        </w:tc>
      </w:tr>
      <w:tr w:rsidR="00036C26" w:rsidRPr="00036C26" w:rsidTr="00036C26">
        <w:trPr>
          <w:trHeight w:val="2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036C26" w:rsidRPr="00036C26" w:rsidTr="00036C26">
        <w:trPr>
          <w:trHeight w:val="1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036C26" w:rsidRPr="00036C26" w:rsidTr="00036C26">
        <w:trPr>
          <w:trHeight w:val="2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3 400,0</w:t>
            </w:r>
          </w:p>
        </w:tc>
      </w:tr>
      <w:tr w:rsidR="00036C26" w:rsidRPr="00036C26" w:rsidTr="00036C26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ДОХОДОВ: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2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«___» _______ №______________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Распределение бюджетных ассигнований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разделам, подразделам, целевым статьям, группам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</w:t>
      </w:r>
      <w:proofErr w:type="gramStart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расходов классификации расходов бюджета муниципального округа</w:t>
      </w:r>
      <w:proofErr w:type="gramEnd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Богородское на 2023 год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709"/>
        <w:gridCol w:w="567"/>
        <w:gridCol w:w="1701"/>
        <w:gridCol w:w="992"/>
        <w:gridCol w:w="992"/>
      </w:tblGrid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tabs>
                <w:tab w:val="left" w:pos="1163"/>
              </w:tabs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20 068,7</w:t>
            </w:r>
          </w:p>
        </w:tc>
      </w:tr>
      <w:tr w:rsidR="00036C26" w:rsidRPr="00036C26" w:rsidTr="00036C26">
        <w:trPr>
          <w:trHeight w:val="4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rPr>
          <w:trHeight w:val="5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15 175,9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14 710,0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44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      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2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3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 №______________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Распределение бюджетных ассигнований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разделам, подразделам, целевым статьям, группам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(группам и подгруппам) видов </w:t>
      </w:r>
      <w:proofErr w:type="gramStart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расходов классификации расходов бюджета муниципального округа</w:t>
      </w:r>
      <w:proofErr w:type="gramEnd"/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Богородское на плановый период 2024 и 2025 годов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567"/>
        <w:gridCol w:w="1560"/>
        <w:gridCol w:w="708"/>
        <w:gridCol w:w="993"/>
        <w:gridCol w:w="992"/>
      </w:tblGrid>
      <w:tr w:rsidR="00036C26" w:rsidRPr="00036C26" w:rsidTr="00036C26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(тыс. руб.)</w:t>
            </w:r>
          </w:p>
        </w:tc>
      </w:tr>
      <w:tr w:rsidR="00036C26" w:rsidRPr="00036C26" w:rsidTr="00036C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19 558,1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4 271,7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rPr>
          <w:trHeight w:val="3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4 096,1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14 665,3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14 423,8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14 199,4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rPr>
          <w:trHeight w:val="33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A83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</w:t>
            </w:r>
            <w:r w:rsidR="00A8306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утвержденные</w:t>
            </w: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1 210,1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24 198,4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4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2023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"/>
        <w:gridCol w:w="709"/>
        <w:gridCol w:w="1559"/>
        <w:gridCol w:w="709"/>
        <w:gridCol w:w="1134"/>
      </w:tblGrid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аппарат Совета депутатов муниципального округа Богородское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/>
              <w:ind w:left="-10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20 068,7</w:t>
            </w:r>
          </w:p>
        </w:tc>
      </w:tr>
      <w:tr w:rsidR="00036C26" w:rsidRPr="00036C26" w:rsidTr="00036C26">
        <w:trPr>
          <w:trHeight w:val="4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rPr>
          <w:trHeight w:val="5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3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15 175,9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14 710,0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12 463,4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4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      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2 890,5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2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Другие вопросы в области средств массовой </w:t>
            </w: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24 712,4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5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плановый период 2024 и 2025 годов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"/>
        <w:gridCol w:w="567"/>
        <w:gridCol w:w="1418"/>
        <w:gridCol w:w="709"/>
        <w:gridCol w:w="992"/>
        <w:gridCol w:w="1134"/>
      </w:tblGrid>
      <w:tr w:rsidR="00036C26" w:rsidRPr="00036C26" w:rsidTr="00036C26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(тыс. руб.)</w:t>
            </w:r>
          </w:p>
        </w:tc>
      </w:tr>
      <w:tr w:rsidR="00036C26" w:rsidRPr="00036C26" w:rsidTr="00036C26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аппарат Совета депутатов муниципального округа Богородское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/>
              <w:ind w:left="-10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/>
              <w:ind w:left="-10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19 558,1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4 271,7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4 499,5</w:t>
            </w:r>
          </w:p>
        </w:tc>
      </w:tr>
      <w:tr w:rsidR="00036C26" w:rsidRPr="00036C26" w:rsidTr="00036C26">
        <w:trPr>
          <w:trHeight w:val="3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4 096,1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4 323,9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3 953,9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rPr>
          <w:trHeight w:val="5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C26" w:rsidRPr="00036C26" w:rsidRDefault="00036C26" w:rsidP="00036C2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rPr>
          <w:trHeight w:val="42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государственных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14 889,7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14 665,3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14 423,8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14 199,4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12 177,2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11 952,8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Закупка товаров, работ и услуг для 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2 246,6</w:t>
            </w:r>
          </w:p>
        </w:tc>
      </w:tr>
      <w:tr w:rsidR="00036C26" w:rsidRPr="00036C26" w:rsidTr="00036C26">
        <w:trPr>
          <w:trHeight w:val="33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1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036C26" w:rsidRPr="00036C26" w:rsidTr="00036C26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Уплата членских взносов на осуществление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129,3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ind w:left="-108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ind w:left="-108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</w:t>
            </w:r>
            <w:proofErr w:type="gramStart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rPr>
          <w:trHeight w:val="1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</w:t>
            </w: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2 285,5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1 680,4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324,0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rPr>
          <w:trHeight w:val="2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sz w:val="24"/>
                <w:szCs w:val="24"/>
              </w:rPr>
              <w:t>367,2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1 022,0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982,0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A83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</w:t>
            </w:r>
            <w:r w:rsidR="00A8306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утвержденные</w:t>
            </w: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6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1 210,1</w:t>
            </w:r>
          </w:p>
        </w:tc>
      </w:tr>
      <w:tr w:rsidR="00036C26" w:rsidRPr="00036C26" w:rsidTr="00036C2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24 198,4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C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24 201,8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6                                                                                                                                                                        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«___» ________ №______________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Источники финансирования дефицита бюджета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на 2023 год и плановый период 2024 и 2025 годов</w:t>
      </w: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294"/>
        <w:gridCol w:w="851"/>
        <w:gridCol w:w="839"/>
        <w:gridCol w:w="779"/>
      </w:tblGrid>
      <w:tr w:rsidR="00036C26" w:rsidRPr="00036C26" w:rsidTr="00036C26">
        <w:trPr>
          <w:trHeight w:val="420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Коды бюджетной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классификации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036C26" w:rsidRPr="00036C26" w:rsidTr="00036C26">
        <w:trPr>
          <w:trHeight w:val="465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 год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900 01000000000000 000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900 01050000000000 000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Изменение остатков средств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счетах по учету средств</w:t>
            </w:r>
          </w:p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Увеличение прочих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Уменьшение прочих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7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 №______________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Объем межбюджетных трансфертов, предоставляемых</w:t>
      </w: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бюджетом муниципального округа Богородское бюджету города Москвы </w:t>
      </w: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2023 год и плановый период 2024 и 2025 годов</w:t>
      </w: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415"/>
        <w:gridCol w:w="1705"/>
        <w:gridCol w:w="709"/>
        <w:gridCol w:w="1130"/>
        <w:gridCol w:w="1134"/>
        <w:gridCol w:w="1134"/>
      </w:tblGrid>
      <w:tr w:rsidR="00036C26" w:rsidRPr="00036C26" w:rsidTr="00036C26">
        <w:trPr>
          <w:trHeight w:val="31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/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подраздел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2025год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Пенсионное </w:t>
            </w: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Доплаты к пенсиям муниципальным служащим</w:t>
            </w: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города Москвы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036C26" w:rsidRPr="00036C26" w:rsidTr="00036C26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</w:t>
            </w:r>
          </w:p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8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муниципальных гарантий муниципального округа Богородское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валюте Российской Федерации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2023 год и плановый период 2024 и 2025 годов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1. Перечень подлежащих предоставлению муниципальных гарантий                         муниципальным округом Богородское на 2023 год и плановый период                                     2024 и 2025 годов:</w:t>
      </w: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"/>
        <w:gridCol w:w="1408"/>
        <w:gridCol w:w="1418"/>
        <w:gridCol w:w="850"/>
        <w:gridCol w:w="992"/>
        <w:gridCol w:w="851"/>
        <w:gridCol w:w="1619"/>
        <w:gridCol w:w="1890"/>
      </w:tblGrid>
      <w:tr w:rsidR="00036C26" w:rsidRPr="00036C26" w:rsidTr="00036C26">
        <w:trPr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            регрессного требования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036C26" w:rsidRPr="00036C26" w:rsidTr="00036C26">
        <w:trPr>
          <w:jc w:val="center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6C26" w:rsidRPr="00036C26" w:rsidTr="00036C26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36C26" w:rsidRPr="00036C26" w:rsidTr="00036C26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36C26" w:rsidRPr="00036C26" w:rsidRDefault="00036C26" w:rsidP="00036C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Объем бюджетных ассигнований, предусмотренных на исполнение                           муниципальных гарантий муниципальным округом Богородское на 2023 год и плановый период 2024 и 2025 годов:</w:t>
      </w:r>
    </w:p>
    <w:p w:rsidR="00036C26" w:rsidRPr="00036C26" w:rsidRDefault="00036C26" w:rsidP="00036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361"/>
        <w:gridCol w:w="1392"/>
        <w:gridCol w:w="1443"/>
        <w:gridCol w:w="850"/>
        <w:gridCol w:w="749"/>
        <w:gridCol w:w="786"/>
        <w:gridCol w:w="1300"/>
        <w:gridCol w:w="1645"/>
      </w:tblGrid>
      <w:tr w:rsidR="00036C26" w:rsidRPr="00036C26" w:rsidTr="00036C26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бюджетных ассигнований, предусмотренных на исполнение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муниципальных гарантий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возможным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гарантийным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случаям (тыс. 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предоставления муниципальных гарантий</w:t>
            </w:r>
          </w:p>
        </w:tc>
      </w:tr>
      <w:tr w:rsidR="00036C26" w:rsidRPr="00036C26" w:rsidTr="00036C26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2025год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6C26" w:rsidRPr="00036C26" w:rsidTr="00036C2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36C26" w:rsidRPr="00036C26" w:rsidTr="00036C2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9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36C26" w:rsidRPr="00036C26" w:rsidRDefault="00036C26" w:rsidP="00036C26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Программа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муниципальных внутренних заимствований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 xml:space="preserve">бюджета муниципального округа Богородское 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</w:rPr>
        <w:t>на 2023 год и плановый период 2024 и 2025 годы</w:t>
      </w:r>
    </w:p>
    <w:p w:rsidR="00036C26" w:rsidRPr="00036C26" w:rsidRDefault="00036C26" w:rsidP="00036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>1. Привлечение заимствований бюджета муниципального округа Богородское на 2023 год и плановый период 2024 и 2025 годов:</w:t>
      </w: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6718"/>
        <w:gridCol w:w="850"/>
        <w:gridCol w:w="851"/>
        <w:gridCol w:w="850"/>
      </w:tblGrid>
      <w:tr w:rsidR="00036C26" w:rsidRPr="00036C26" w:rsidTr="00036C26"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7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Объем привлечения средств (тыс. рублей)</w:t>
            </w:r>
          </w:p>
        </w:tc>
      </w:tr>
      <w:tr w:rsidR="00036C26" w:rsidRPr="00036C26" w:rsidTr="00036C26"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036C26" w:rsidRPr="00036C26" w:rsidTr="00036C2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36C26" w:rsidRPr="00036C26" w:rsidRDefault="00036C26" w:rsidP="00036C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6C26">
        <w:rPr>
          <w:rFonts w:ascii="Times New Roman" w:eastAsia="Calibri" w:hAnsi="Times New Roman" w:cs="Times New Roman"/>
          <w:sz w:val="26"/>
          <w:szCs w:val="26"/>
        </w:rPr>
        <w:t>2. Погашение заимствований бюджета муниципального округа Богородское на 2023 год и плановый период 2024 и 2025 годов:</w:t>
      </w:r>
    </w:p>
    <w:p w:rsidR="00036C26" w:rsidRPr="00036C26" w:rsidRDefault="00036C26" w:rsidP="00036C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8"/>
        <w:gridCol w:w="6676"/>
        <w:gridCol w:w="850"/>
        <w:gridCol w:w="851"/>
        <w:gridCol w:w="850"/>
      </w:tblGrid>
      <w:tr w:rsidR="00036C26" w:rsidRPr="00036C26" w:rsidTr="00036C26"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Объем погашения средств (тыс. рублей)</w:t>
            </w:r>
          </w:p>
        </w:tc>
      </w:tr>
      <w:tr w:rsidR="00036C26" w:rsidRPr="00036C26" w:rsidTr="00036C26"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036C26" w:rsidRPr="00036C26" w:rsidTr="00036C26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кредиты, полученные от других бюджетов                                                                                 бюджетной системы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036C26" w:rsidRPr="00036C26" w:rsidTr="00036C26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036C26" w:rsidRPr="00036C26" w:rsidRDefault="00036C26" w:rsidP="0003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6C26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27.10.2022 г. №</w:t>
      </w:r>
      <w:r w:rsidR="00A83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02/03</w:t>
      </w:r>
    </w:p>
    <w:p w:rsidR="00036C26" w:rsidRPr="00036C26" w:rsidRDefault="00036C26" w:rsidP="00036C26">
      <w:pPr>
        <w:spacing w:after="0" w:line="240" w:lineRule="auto"/>
        <w:ind w:left="-284"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Основные направления </w:t>
      </w:r>
    </w:p>
    <w:p w:rsidR="00036C26" w:rsidRPr="00036C26" w:rsidRDefault="00036C26" w:rsidP="00036C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бюджетной и налоговой политики </w:t>
      </w:r>
    </w:p>
    <w:p w:rsidR="00036C26" w:rsidRPr="00036C26" w:rsidRDefault="00036C26" w:rsidP="00036C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округа Богородское </w:t>
      </w:r>
    </w:p>
    <w:p w:rsidR="00036C26" w:rsidRPr="00036C26" w:rsidRDefault="00036C26" w:rsidP="00036C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2023 год и плановый период 2024 и 20254 годов</w:t>
      </w:r>
    </w:p>
    <w:p w:rsidR="00036C26" w:rsidRPr="00036C26" w:rsidRDefault="00036C26" w:rsidP="00036C2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numPr>
          <w:ilvl w:val="0"/>
          <w:numId w:val="43"/>
        </w:num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положения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Основные направления бюджетной и налоговой политики на 2023 год и плановый период 2024 и 2025 годов подготовлены на основании и в соответствии с положениями Бюджетного Кодекса Российской Федерации, Уставом муниципального округа Богородское, Положением о бюджетном процессе в муниципальном округе Богородское, иными нормативными правовыми актами муниципального округа Богородское.</w:t>
      </w:r>
      <w:proofErr w:type="gramEnd"/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Бюджетная и налоговая политика на 2023 год и плановый период 2024 и 2025 годов (далее бюджетная и налоговая политика) является одной из основ для формирования бюджета муниципального округа Богородское на 2023 год и плановый период 2024 и 2025 годов, обеспечения рационального и эффективного использования бюджетных средств, дальнейшего совершенствования межбюджетных отношений, разработки основных характеристик и прогнозируемых параметров бюджета муниципального округа Богородское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, а также обеспечения прозрачности и открытости бюджетного планирования.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основу бюджетной политики муниципального округа Богородское положены цели, сформулированные в основных направлениях бюджетной политики на 2023 год и плановый период 2024 и 2025 годов Российской Федерации.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Сбалансированность бюджета муниципального округа Богородское достигается за счет детального экономического анализа при принятии новых расходных обязательств.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Бюджетная политика должна соответствовать целям социально-экономического развития муниципального округа Богородское: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прав жителей на осуществление местного самоуправления через органы местного самоуправления;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улучшение качества и увеличение перечня социальных услуг, предоставляемых населению за счет местного бюджета;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повышение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уровня жизни всех групп населения муниципального округа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и деятельности сообществ на его территории, повышение качества и доступности муниципальных услуг;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создание условий для позитивных изменений в социальной сфере;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создание условий для дальнейшего устойчивого социально-экономического и общественно-политического развития муниципального округа Богородское;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повышение эффективности управления финансовыми ресурсами муниципального округа Богородское;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ориентация на комплексный подход в решении задач по обеспечению социальной стабильности;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обеспечение вовлечения граждан в обсуждение бюджетных решений и осуществление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эффективностью и результативностью их исполнения.</w:t>
      </w:r>
    </w:p>
    <w:p w:rsidR="00036C26" w:rsidRPr="00036C26" w:rsidRDefault="00036C26" w:rsidP="00036C26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 Основные задачи бюджетной и налоговой политики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Основными задачами бюджетной и налоговой политики являются: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определение подходов к планированию доходов и расходов, источников финансирования дефицита бюджета муниципального округа Богородское;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разработка и утверждение сбалансированного местного бюджета на 2023 год и плановый период 2024 и 2025 годов, как основы обеспечения предсказуемости и преемственности бюджетной политики;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оптимизация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реализация исчерпывающих мер по максимальной мобилизации финансовых ресурсов путем координации деятельности органов местного самоуправления;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совершенствование бюджетного процесса в муниципальном округе Богородское за счет повышения роли среднесрочного и текущего планирования,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дальнейшее повышение уровня бюджетной обеспеченности;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сохранение бюджетной направленности бюджетных расходов;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исполнения расходных обязательств;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финансирования социально-значимых мероприятий;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участие в физическом и военно-патриотическом воспитании молодежи;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оптимизация расходов на функционирование органов местного самоуправления и рациональной экономии финансовых средств на текущее содержание за счет совершенствования практики размещения муниципального заказа на конкурентной основе;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исполнение бюджета муниципального округа Богородское в режиме строгой и разумной экономии бюджетных средств;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открытости информации о достигнутых и планируемых результатах бюджетной политики и использовании средств бюджета муниципального округа Богородское;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повышение открытости и прозрачности бюджетного процесса, публикация на сайте, в бюллетене «Московский муниципальный вестник» всех изменений, вносимых в бюджет муниципального округа Богородское;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приведение правовых актов муниципального округа Богородское в соответствие с Бюджетным Кодексом Российской Федерации и другими законодательными актами в области организации бюджетного процесса;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продолжение внедрения государственной интегрированной информационной системы управления общественными финансами «Электронный бюджет».</w:t>
      </w:r>
    </w:p>
    <w:p w:rsidR="00036C26" w:rsidRPr="00036C26" w:rsidRDefault="00036C26" w:rsidP="00036C26">
      <w:pPr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 Основные направления бюджетной и налоговой политики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Основными целями бюджетной политики на 2023 год и плановый период 2024 и 2025 годов являются: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безусловное выполнение действующих и принимаемых обязательств;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прозрачности и открытости бюджетного процесса.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Принимая во внимание, что на 2023 год и плановый период 2024 и 2025 годов единственными доходами бюджета муниципального округа Богородское планируются отчисления от налога на доходы физических лиц, основными направлениями бюджетной политики являются: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оптимизация работы и взаимодействие с налоговыми службами в части собираемости налогов на доходы физических лиц;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взаимодействие с Департаментом финансов города Москвы, Управлением Федерального казначейства по г. Москве в части налоговых поступлений в бюджет муниципального округа Богородское;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усиление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поступлением в бюджет муниципального округа Богородское причитающихся доходов;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эффективное и строго целевое расходование средств бюджета муниципального округа Богородское;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направление экономии собственных средств бюджета муниципального округа Богородское на выполнение своих полномочий;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повышение эффективности работы по информированию населения муниципального округа Богородское о деятельности органов местного самоуправления; 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совершенствование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усиление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рациональным расходованием средств местного бюджета.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основании Налогового кодекса Российской Федерации аппарат Совета депутатов муниципального округа Богородское является налогоплательщиком налога на доходы физических лиц и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страхования. 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Начисления на оплату труда муниципальных служащих составляют 30,2% фонда оплаты труда. Налоговая ставка налога на доходы физических лиц установлена в размере 13% от налогооблагаемой базы.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Объектом налогообложения являются все доходы, полученные (главой муниципального округа Богородское и муниципальными служащими) в денежной форме. Исчисление сумм и уплаты налогов определяется отдельно по каждому виду налогов.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Основные направления налоговой </w:t>
      </w: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политики подготовлены в целях составления проекта бюджета города Москвы</w:t>
      </w:r>
      <w:proofErr w:type="gramEnd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2023 год и плановый период 2024 и 2025 годов. Налоговая политика в 2023 - 2025 годах строится на основе преемственности заложенных в предшествующие годы базовых принципов и условий налогообложения, при этом главными целями, на достижение которых будет направлена налоговая политика в 2023 - 2025 годах, останется обеспечение устойчивости бюджета муниципального округа Богородское на основе стабильности налоговой базы.</w:t>
      </w:r>
    </w:p>
    <w:p w:rsidR="00036C26" w:rsidRPr="00036C26" w:rsidRDefault="00036C26" w:rsidP="00036C26">
      <w:pPr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4. Бюджетная и налоговая отчетность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Бюджетная отчетность является бухгалтерской отчетностью муниципального округа Богородское.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Согласно Федеральному закону от 06 декабря 2011 №402-ФЗ (в ред. от 26.07.2019) «О бухгалтерском учете» бюджетные организации представляют годовую бухгалтерскую отчетность вышестоящему органу в установленные им сроки.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На основании данного закона аппарат Совета депутатов муниципального округа Богородское предоставляет месячную, квартальную и годовую бухгалтерскую отчетность в Департамент финансов города Москвы.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Аппарат Совета депутатов муниципального округа Богородское представляет следующую налоговую и иную отчетность: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 в территориальный орган Пенсионного фонда Российской Федерации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ежемесячно не позднее 15-го числа календарного месяца, следующего за отчетным периодом, «Сведения о застрахованных лицах» (форма СЗВ-М);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ежемесячно не позднее 15-го числа календарного месяца, следующего за отчетным периодом, (в случаях приема и увольнения – не позднее рабочего дня, следующего за днем издания соответствующего приказа) «Сведения о трудовой деятельности работников» (форма СЗВ-ТД);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- ежегодно не позднее 2-го марта года, следующего за отчетным периодом «Сведения о стаже застрахованных лиц» (форма СЗВ-СТАЖ);</w:t>
      </w:r>
    </w:p>
    <w:p w:rsidR="00036C26" w:rsidRPr="00036C26" w:rsidRDefault="00036C26" w:rsidP="00036C26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территориальный орган Фонда социального страхования Российской Федерации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ежеквартально, не позднее 20-го числа календарного месяца, следующего за отчетным периодом «Расчет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обеспечения» по форме-4 ФСС РФ, утвержденной приказом Фондом социального страхования Российской Федерации от 14.03.2022  № 80. </w:t>
      </w:r>
      <w:proofErr w:type="gramEnd"/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 в налоговый орган по месту нахождения организации: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1) ежеквартально, не позднее 20-го числа календарного месяца, следующего за отчетным периодом «Расчет сумм налога на доходы физических лиц, исчисленных и удержанных налоговым агентом» форма 6-НДФЛ (форма утверждена Приказом ФНС России от 15.10.2020 №ЕД-7-11/753@);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2) ежеквартально, не позднее 25-го числа календарного месяца, следующего за отчетным периодом «Налоговая декларация по налогу на добавленную стоимость» (форма утверждена Приказом ФНС России от 24.12.2021 №ЕД-7-3/1149@);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3) ежеквартально, не позднее 30-го числа календарного месяца, следующего за отчетным периодом «Налоговая декларация по налогу на прибыль организаций» (форма утверждена Приказом ФНС России от 23.09.2019 №ММВ-7-3/475@) (ред.  от 11.09.2020);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4) ежеквартально, не позднее 30-го числа календарного месяца, следующего за отчетным периодом «Расчет по страховым взносам» (форма утверждена Приказом ФНС России от 06.10.2021 №ЕД-7-11/875@);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5) ежегодно, не позднее 28-го марта года, следующего за отчетным периодом «Справка о доходах физического лица по форме 2-НДФЛ» (форма утверждена Приказом ФНС России от 15.10.2020 №ЕД-7-11/753@);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6) ежегодно, не позднее 31-го марта года, следующего за отчетным периодом бухгалтерская (финансовая) отчетность.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 в территориальный орган Росстата: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1) ежеквартально, не позднее 15-го числа календарного месяца, следующего за отчетным периодом «Сведения о численности и заработной плате работников» форма П-4, утверждена Приказом Росстата от 24.07.2020 №412;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2) ежеквартально, с 1 по 20 число месяца, следующего за отчетным периодом «Сведения об инвестициях в нефинансовые активы» форма П-2, утверждена Приказом Росстата от 30.07.2021 №464;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3) ежегодно, не позднее 1 марта года, следующего за отчетным периодом «Сведения о численности, фонде заработной платы, дополнительном профессиональном образовании муниципальных служащих» форма 1-Т (МС), утверждена Приказом Росстата от 30.07.2021 №457 (ред. от 17.12.2021);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4) ежегодно, не позднее 1-го апреля года, следующего за отчетным периодом «Сведения о наличии и движении основных фондов (средств) некоммерческих организаций» форма 11(краткая), утверждена Приказом Росстата от 15.07.2021 №421;</w:t>
      </w:r>
    </w:p>
    <w:p w:rsidR="00036C26" w:rsidRPr="00036C26" w:rsidRDefault="00036C26" w:rsidP="00036C26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5) ежегодно, не позднее 8-го апреля года, следующего за отчетным периодом «Сведения об использовании информационных и коммуникационных технологий и производстве вычислительной техники, программного обеспечения и оказания услуг в этих сферах» форма 3-информ, утверждена Приказом Росстата от 30.07.2021 №463.</w:t>
      </w:r>
    </w:p>
    <w:p w:rsidR="00036C26" w:rsidRPr="00036C26" w:rsidRDefault="00036C26" w:rsidP="00036C26">
      <w:pPr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27.10.2022 г. №</w:t>
      </w:r>
      <w:r w:rsidR="00A830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02/03</w:t>
      </w:r>
    </w:p>
    <w:p w:rsidR="00036C26" w:rsidRPr="00036C26" w:rsidRDefault="00036C26" w:rsidP="00036C26">
      <w:pPr>
        <w:overflowPunct w:val="0"/>
        <w:autoSpaceDE w:val="0"/>
        <w:autoSpaceDN w:val="0"/>
        <w:adjustRightInd w:val="0"/>
        <w:spacing w:after="0" w:line="240" w:lineRule="auto"/>
        <w:ind w:left="486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 по организации и проведению публичных слушаний по проекту решения Совета депутатов муниципального округа Богородское «О бюджете муниципального округа Богородское на 2023 год и плановый период 2024 и 2025 годов»</w:t>
      </w: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9" w:type="dxa"/>
        <w:tblLook w:val="01E0" w:firstRow="1" w:lastRow="1" w:firstColumn="1" w:lastColumn="1" w:noHBand="0" w:noVBand="0"/>
      </w:tblPr>
      <w:tblGrid>
        <w:gridCol w:w="10157"/>
        <w:gridCol w:w="222"/>
      </w:tblGrid>
      <w:tr w:rsidR="00036C26" w:rsidRPr="00036C26" w:rsidTr="00036C26">
        <w:tc>
          <w:tcPr>
            <w:tcW w:w="10157" w:type="dxa"/>
          </w:tcPr>
          <w:tbl>
            <w:tblPr>
              <w:tblW w:w="9941" w:type="dxa"/>
              <w:tblLook w:val="01E0" w:firstRow="1" w:lastRow="1" w:firstColumn="1" w:lastColumn="1" w:noHBand="0" w:noVBand="0"/>
            </w:tblPr>
            <w:tblGrid>
              <w:gridCol w:w="5070"/>
              <w:gridCol w:w="4871"/>
            </w:tblGrid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 рабочей группы: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Воловик Константин Ефимович</w:t>
                  </w: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-глава муниципального округа </w:t>
                  </w: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руководителя рабочей группы: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Шустров Евгений Владимирович</w:t>
                  </w: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Пешков  Андрей Николаевич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Иванова Анна Кирилловна </w:t>
                  </w: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Секретарь рабочей группы: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Панченко Павлина Павловна </w:t>
                  </w: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главный бухгалтер - советник  аппарата Совета депутатов муниципального округа Богородское</w:t>
                  </w:r>
                </w:p>
              </w:tc>
            </w:tr>
          </w:tbl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C26" w:rsidRPr="00036C26" w:rsidTr="00036C26">
        <w:tc>
          <w:tcPr>
            <w:tcW w:w="10157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C26" w:rsidRPr="00036C26" w:rsidTr="00036C26">
        <w:tc>
          <w:tcPr>
            <w:tcW w:w="10157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5409" w:rsidRDefault="00295409"/>
    <w:sectPr w:rsidR="00295409" w:rsidSect="00036C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2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5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A79759A"/>
    <w:multiLevelType w:val="hybridMultilevel"/>
    <w:tmpl w:val="2BB067CC"/>
    <w:lvl w:ilvl="0" w:tplc="8D98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B31CDF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27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4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5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8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0">
    <w:nsid w:val="75CC7394"/>
    <w:multiLevelType w:val="multilevel"/>
    <w:tmpl w:val="84C64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41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3"/>
  </w:num>
  <w:num w:numId="5">
    <w:abstractNumId w:val="41"/>
  </w:num>
  <w:num w:numId="6">
    <w:abstractNumId w:val="29"/>
  </w:num>
  <w:num w:numId="7">
    <w:abstractNumId w:val="43"/>
  </w:num>
  <w:num w:numId="8">
    <w:abstractNumId w:val="33"/>
  </w:num>
  <w:num w:numId="9">
    <w:abstractNumId w:val="11"/>
  </w:num>
  <w:num w:numId="10">
    <w:abstractNumId w:val="8"/>
  </w:num>
  <w:num w:numId="11">
    <w:abstractNumId w:val="14"/>
  </w:num>
  <w:num w:numId="12">
    <w:abstractNumId w:val="15"/>
  </w:num>
  <w:num w:numId="13">
    <w:abstractNumId w:val="34"/>
  </w:num>
  <w:num w:numId="14">
    <w:abstractNumId w:val="31"/>
  </w:num>
  <w:num w:numId="15">
    <w:abstractNumId w:val="30"/>
  </w:num>
  <w:num w:numId="16">
    <w:abstractNumId w:val="19"/>
  </w:num>
  <w:num w:numId="17">
    <w:abstractNumId w:val="22"/>
  </w:num>
  <w:num w:numId="18">
    <w:abstractNumId w:val="2"/>
  </w:num>
  <w:num w:numId="19">
    <w:abstractNumId w:val="37"/>
  </w:num>
  <w:num w:numId="20">
    <w:abstractNumId w:val="42"/>
  </w:num>
  <w:num w:numId="21">
    <w:abstractNumId w:val="5"/>
  </w:num>
  <w:num w:numId="22">
    <w:abstractNumId w:val="24"/>
  </w:num>
  <w:num w:numId="23">
    <w:abstractNumId w:val="16"/>
  </w:num>
  <w:num w:numId="24">
    <w:abstractNumId w:val="7"/>
  </w:num>
  <w:num w:numId="25">
    <w:abstractNumId w:val="18"/>
  </w:num>
  <w:num w:numId="26">
    <w:abstractNumId w:val="28"/>
  </w:num>
  <w:num w:numId="27">
    <w:abstractNumId w:val="32"/>
  </w:num>
  <w:num w:numId="28">
    <w:abstractNumId w:val="4"/>
  </w:num>
  <w:num w:numId="29">
    <w:abstractNumId w:val="39"/>
  </w:num>
  <w:num w:numId="30">
    <w:abstractNumId w:val="13"/>
  </w:num>
  <w:num w:numId="31">
    <w:abstractNumId w:val="27"/>
  </w:num>
  <w:num w:numId="32">
    <w:abstractNumId w:val="12"/>
  </w:num>
  <w:num w:numId="33">
    <w:abstractNumId w:val="10"/>
  </w:num>
  <w:num w:numId="34">
    <w:abstractNumId w:val="21"/>
  </w:num>
  <w:num w:numId="35">
    <w:abstractNumId w:val="9"/>
  </w:num>
  <w:num w:numId="36">
    <w:abstractNumId w:val="25"/>
  </w:num>
  <w:num w:numId="37">
    <w:abstractNumId w:val="38"/>
  </w:num>
  <w:num w:numId="38">
    <w:abstractNumId w:val="6"/>
  </w:num>
  <w:num w:numId="39">
    <w:abstractNumId w:val="36"/>
  </w:num>
  <w:num w:numId="40">
    <w:abstractNumId w:val="35"/>
  </w:num>
  <w:num w:numId="41">
    <w:abstractNumId w:val="20"/>
  </w:num>
  <w:num w:numId="42">
    <w:abstractNumId w:val="1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26"/>
    <w:rsid w:val="00036C26"/>
    <w:rsid w:val="00295409"/>
    <w:rsid w:val="00A83065"/>
    <w:rsid w:val="00D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8767</Words>
  <Characters>49975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2022-10-27T13:08:00Z</cp:lastPrinted>
  <dcterms:created xsi:type="dcterms:W3CDTF">2022-10-27T12:53:00Z</dcterms:created>
  <dcterms:modified xsi:type="dcterms:W3CDTF">2022-10-31T12:28:00Z</dcterms:modified>
</cp:coreProperties>
</file>